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1880" w14:textId="3848A9F9" w:rsidR="00C20296" w:rsidRDefault="001F7730" w:rsidP="0081688C">
      <w:pPr>
        <w:rPr>
          <w:rFonts w:ascii="Times" w:hAnsi="Times" w:cs="Times"/>
          <w:color w:val="000000"/>
        </w:rPr>
      </w:pPr>
      <w:r>
        <w:rPr>
          <w:rFonts w:ascii="Helvetica" w:hAnsi="Helvetica" w:cs="Helvetica"/>
          <w:noProof/>
        </w:rPr>
        <w:t xml:space="preserve">   </w:t>
      </w:r>
      <w:r w:rsidR="00C20296">
        <w:rPr>
          <w:rFonts w:ascii="Times" w:hAnsi="Times" w:cs="Times"/>
          <w:color w:val="000000"/>
        </w:rPr>
        <w:t xml:space="preserve"> </w:t>
      </w:r>
      <w:r w:rsidR="00C20296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746CF91E" wp14:editId="256AB2B8">
            <wp:extent cx="2284095" cy="1079500"/>
            <wp:effectExtent l="0" t="0" r="1905" b="6350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59" cy="10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B69A" w14:textId="3FCC83B7" w:rsidR="001F7730" w:rsidRPr="001A7537" w:rsidRDefault="001A7537" w:rsidP="001A7537">
      <w:pPr>
        <w:rPr>
          <w:rFonts w:ascii="Arial" w:hAnsi="Arial" w:cs="Helvetica"/>
          <w:noProof/>
          <w:sz w:val="22"/>
          <w:szCs w:val="22"/>
        </w:rPr>
      </w:pPr>
      <w:r>
        <w:rPr>
          <w:rFonts w:ascii="Helvetica" w:hAnsi="Helvetica" w:cs="Helvetica"/>
          <w:noProof/>
        </w:rPr>
        <w:tab/>
      </w:r>
      <w:r w:rsidR="001A54E3">
        <w:rPr>
          <w:rFonts w:ascii="Helvetica" w:hAnsi="Helvetica" w:cs="Helvetica"/>
          <w:noProof/>
        </w:rPr>
        <w:t xml:space="preserve">       </w:t>
      </w:r>
      <w:r w:rsidRPr="001A7537">
        <w:rPr>
          <w:rFonts w:ascii="Arial" w:hAnsi="Arial" w:cs="Helvetica"/>
          <w:noProof/>
          <w:sz w:val="22"/>
          <w:szCs w:val="22"/>
        </w:rPr>
        <w:t>www.hischuetzen.ch</w:t>
      </w:r>
    </w:p>
    <w:p w14:paraId="276BD8D9" w14:textId="529CBF53" w:rsidR="001A7537" w:rsidRPr="001A7537" w:rsidRDefault="00145FDB" w:rsidP="001A7537">
      <w:pPr>
        <w:rPr>
          <w:rFonts w:ascii="Arial" w:hAnsi="Arial" w:cs="Times New Roman"/>
          <w:color w:val="000000"/>
          <w:lang w:val="de-CH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7537" w:rsidRPr="001A7537">
        <w:rPr>
          <w:rFonts w:ascii="Calibri" w:hAnsi="Calibri" w:cs="Times New Roman"/>
          <w:color w:val="000000"/>
          <w:sz w:val="22"/>
          <w:szCs w:val="22"/>
          <w:lang w:val="de-CH"/>
        </w:rPr>
        <w:t>            </w:t>
      </w:r>
      <w:r w:rsidR="001A7537">
        <w:rPr>
          <w:rFonts w:ascii="Calibri" w:hAnsi="Calibri" w:cs="Times New Roman"/>
          <w:color w:val="000000"/>
          <w:sz w:val="22"/>
          <w:szCs w:val="22"/>
          <w:lang w:val="de-CH"/>
        </w:rPr>
        <w:tab/>
      </w:r>
      <w:r w:rsidR="001A7537">
        <w:rPr>
          <w:rFonts w:ascii="Calibri" w:hAnsi="Calibri" w:cs="Times New Roman"/>
          <w:color w:val="000000"/>
          <w:sz w:val="22"/>
          <w:szCs w:val="22"/>
          <w:lang w:val="de-CH"/>
        </w:rPr>
        <w:tab/>
      </w:r>
      <w:r w:rsidR="001A7537">
        <w:rPr>
          <w:rFonts w:ascii="Calibri" w:hAnsi="Calibri" w:cs="Times New Roman"/>
          <w:color w:val="000000"/>
          <w:sz w:val="22"/>
          <w:szCs w:val="22"/>
          <w:lang w:val="de-CH"/>
        </w:rPr>
        <w:tab/>
      </w:r>
      <w:r w:rsidR="001A7537">
        <w:rPr>
          <w:rFonts w:ascii="Calibri" w:hAnsi="Calibri" w:cs="Times New Roman"/>
          <w:color w:val="000000"/>
          <w:sz w:val="22"/>
          <w:szCs w:val="22"/>
          <w:lang w:val="de-CH"/>
        </w:rPr>
        <w:tab/>
      </w:r>
      <w:r w:rsidR="001A7537" w:rsidRPr="001A7537">
        <w:rPr>
          <w:rFonts w:ascii="Arial" w:hAnsi="Arial" w:cs="Times New Roman"/>
          <w:color w:val="000000"/>
          <w:lang w:val="de-CH"/>
        </w:rPr>
        <w:t>Frau Bundespräsidentin</w:t>
      </w:r>
    </w:p>
    <w:p w14:paraId="6F6AC3DD" w14:textId="5239A5E0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                                                  </w:t>
      </w:r>
      <w:r>
        <w:rPr>
          <w:rFonts w:ascii="Arial" w:hAnsi="Arial" w:cs="Times New Roman"/>
          <w:color w:val="000000"/>
          <w:lang w:val="de-CH"/>
        </w:rPr>
        <w:t>         </w:t>
      </w:r>
      <w:r>
        <w:rPr>
          <w:rFonts w:ascii="Arial" w:hAnsi="Arial" w:cs="Times New Roman"/>
          <w:color w:val="000000"/>
          <w:lang w:val="de-CH"/>
        </w:rPr>
        <w:tab/>
      </w:r>
      <w:r>
        <w:rPr>
          <w:rFonts w:ascii="Arial" w:hAnsi="Arial" w:cs="Times New Roman"/>
          <w:color w:val="000000"/>
          <w:lang w:val="de-CH"/>
        </w:rPr>
        <w:tab/>
      </w:r>
      <w:r w:rsidRPr="001A7537">
        <w:rPr>
          <w:rFonts w:ascii="Arial" w:hAnsi="Arial" w:cs="Times New Roman"/>
          <w:color w:val="000000"/>
          <w:lang w:val="de-CH"/>
        </w:rPr>
        <w:t>Simonetta Somaruga</w:t>
      </w:r>
    </w:p>
    <w:p w14:paraId="6DE8D69D" w14:textId="089D6A74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 xml:space="preserve">                                                              </w:t>
      </w:r>
      <w:r w:rsidRPr="001A7537">
        <w:rPr>
          <w:rFonts w:ascii="Arial" w:hAnsi="Arial" w:cs="Times New Roman"/>
          <w:color w:val="000000"/>
          <w:lang w:val="de-CH"/>
        </w:rPr>
        <w:tab/>
      </w:r>
      <w:r>
        <w:rPr>
          <w:rFonts w:ascii="Arial" w:hAnsi="Arial" w:cs="Times New Roman"/>
          <w:color w:val="000000"/>
          <w:lang w:val="de-CH"/>
        </w:rPr>
        <w:tab/>
      </w:r>
      <w:r w:rsidRPr="001A7537">
        <w:rPr>
          <w:rFonts w:ascii="Arial" w:hAnsi="Arial" w:cs="Times New Roman"/>
          <w:color w:val="000000"/>
          <w:lang w:val="de-CH"/>
        </w:rPr>
        <w:t>Bundeshaus</w:t>
      </w:r>
    </w:p>
    <w:p w14:paraId="187E4371" w14:textId="1A09A315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 xml:space="preserve">                                                              </w:t>
      </w:r>
      <w:r w:rsidRPr="001A7537">
        <w:rPr>
          <w:rFonts w:ascii="Arial" w:hAnsi="Arial" w:cs="Times New Roman"/>
          <w:color w:val="000000"/>
          <w:lang w:val="de-CH"/>
        </w:rPr>
        <w:tab/>
      </w:r>
      <w:r>
        <w:rPr>
          <w:rFonts w:ascii="Arial" w:hAnsi="Arial" w:cs="Times New Roman"/>
          <w:color w:val="000000"/>
          <w:lang w:val="de-CH"/>
        </w:rPr>
        <w:tab/>
      </w:r>
      <w:r w:rsidRPr="001A7537">
        <w:rPr>
          <w:rFonts w:ascii="Arial" w:hAnsi="Arial" w:cs="Times New Roman"/>
          <w:color w:val="000000"/>
          <w:lang w:val="de-CH"/>
        </w:rPr>
        <w:t>3003 Bern</w:t>
      </w:r>
    </w:p>
    <w:p w14:paraId="3EEE0A03" w14:textId="77777777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                                                             </w:t>
      </w:r>
    </w:p>
    <w:p w14:paraId="032222D2" w14:textId="157C832B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 </w:t>
      </w:r>
    </w:p>
    <w:p w14:paraId="4F9E7FD8" w14:textId="293302AC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 xml:space="preserve">                                                              </w:t>
      </w:r>
      <w:r w:rsidR="0081688C">
        <w:rPr>
          <w:rFonts w:ascii="Arial" w:hAnsi="Arial" w:cs="Times New Roman"/>
          <w:color w:val="000000"/>
          <w:lang w:val="de-CH"/>
        </w:rPr>
        <w:t xml:space="preserve">             </w:t>
      </w:r>
      <w:r w:rsidRPr="001A7537">
        <w:rPr>
          <w:rFonts w:ascii="Arial" w:hAnsi="Arial" w:cs="Times New Roman"/>
          <w:color w:val="000000"/>
          <w:lang w:val="de-CH"/>
        </w:rPr>
        <w:t>Brunnen, den 1</w:t>
      </w:r>
      <w:r w:rsidR="00D45D50">
        <w:rPr>
          <w:rFonts w:ascii="Arial" w:hAnsi="Arial" w:cs="Times New Roman"/>
          <w:color w:val="000000"/>
          <w:lang w:val="de-CH"/>
        </w:rPr>
        <w:t>4</w:t>
      </w:r>
      <w:r w:rsidRPr="001A7537">
        <w:rPr>
          <w:rFonts w:ascii="Arial" w:hAnsi="Arial" w:cs="Times New Roman"/>
          <w:color w:val="000000"/>
          <w:lang w:val="de-CH"/>
        </w:rPr>
        <w:t xml:space="preserve">. </w:t>
      </w:r>
      <w:r w:rsidR="00F55CD1">
        <w:rPr>
          <w:rFonts w:ascii="Arial" w:hAnsi="Arial" w:cs="Times New Roman"/>
          <w:color w:val="000000"/>
          <w:lang w:val="de-CH"/>
        </w:rPr>
        <w:t>März</w:t>
      </w:r>
      <w:r w:rsidRPr="001A7537">
        <w:rPr>
          <w:rFonts w:ascii="Arial" w:hAnsi="Arial" w:cs="Times New Roman"/>
          <w:color w:val="000000"/>
          <w:lang w:val="de-CH"/>
        </w:rPr>
        <w:t xml:space="preserve"> 2020</w:t>
      </w:r>
    </w:p>
    <w:p w14:paraId="0E9B6C19" w14:textId="77777777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</w:t>
      </w:r>
    </w:p>
    <w:p w14:paraId="7B8EB167" w14:textId="77777777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</w:t>
      </w:r>
    </w:p>
    <w:p w14:paraId="2C38B0B5" w14:textId="737A532A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Hochgeachtete Frau Bundespräsidentin</w:t>
      </w:r>
      <w:r w:rsidR="00371783">
        <w:rPr>
          <w:rFonts w:ascii="Arial" w:hAnsi="Arial" w:cs="Times New Roman"/>
          <w:color w:val="000000"/>
          <w:lang w:val="de-CH"/>
        </w:rPr>
        <w:t>,</w:t>
      </w:r>
    </w:p>
    <w:p w14:paraId="15DFE600" w14:textId="77777777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</w:t>
      </w:r>
    </w:p>
    <w:p w14:paraId="47FDFF2A" w14:textId="40DC51B7" w:rsidR="00F55CD1" w:rsidRDefault="00F55CD1" w:rsidP="00371783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>Wir bedanken uns fürs Schreiben vom 3.3.20 und teilen Ihre Meinung, dass es in der heutigen Politlandschaft</w:t>
      </w:r>
      <w:r w:rsidR="00D65A2C">
        <w:rPr>
          <w:rFonts w:ascii="Arial" w:hAnsi="Arial" w:cs="Times New Roman"/>
          <w:color w:val="000000"/>
          <w:lang w:val="de-CH"/>
        </w:rPr>
        <w:t xml:space="preserve"> </w:t>
      </w:r>
      <w:r>
        <w:rPr>
          <w:rFonts w:ascii="Arial" w:hAnsi="Arial" w:cs="Times New Roman"/>
          <w:color w:val="000000"/>
          <w:lang w:val="de-CH"/>
        </w:rPr>
        <w:t xml:space="preserve">besonders wichtig </w:t>
      </w:r>
      <w:r w:rsidR="00BB7059">
        <w:rPr>
          <w:rFonts w:ascii="Arial" w:hAnsi="Arial" w:cs="Times New Roman"/>
          <w:color w:val="000000"/>
          <w:lang w:val="de-CH"/>
        </w:rPr>
        <w:t>wäre</w:t>
      </w:r>
      <w:r>
        <w:rPr>
          <w:rFonts w:ascii="Arial" w:hAnsi="Arial" w:cs="Times New Roman"/>
          <w:color w:val="000000"/>
          <w:lang w:val="de-CH"/>
        </w:rPr>
        <w:t xml:space="preserve"> «Bedenken und Fragen zur Schweizer Europapolitik zu klären».</w:t>
      </w:r>
    </w:p>
    <w:p w14:paraId="33C096C9" w14:textId="1F92A8C7" w:rsidR="00D65A2C" w:rsidRDefault="00162838" w:rsidP="00371783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>Die letz</w:t>
      </w:r>
      <w:r w:rsidR="000118CD">
        <w:rPr>
          <w:rFonts w:ascii="Arial" w:hAnsi="Arial" w:cs="Times New Roman"/>
          <w:color w:val="000000"/>
          <w:lang w:val="de-CH"/>
        </w:rPr>
        <w:t>t</w:t>
      </w:r>
      <w:r>
        <w:rPr>
          <w:rFonts w:ascii="Arial" w:hAnsi="Arial" w:cs="Times New Roman"/>
          <w:color w:val="000000"/>
          <w:lang w:val="de-CH"/>
        </w:rPr>
        <w:t xml:space="preserve">jährige Abstimmung übers Waffenrecht </w:t>
      </w:r>
      <w:r w:rsidR="00EC0E8A">
        <w:rPr>
          <w:rFonts w:ascii="Arial" w:hAnsi="Arial" w:cs="Times New Roman"/>
          <w:color w:val="000000"/>
          <w:lang w:val="de-CH"/>
        </w:rPr>
        <w:t xml:space="preserve">hat einmal mehr </w:t>
      </w:r>
      <w:r>
        <w:rPr>
          <w:rFonts w:ascii="Arial" w:hAnsi="Arial" w:cs="Times New Roman"/>
          <w:color w:val="000000"/>
          <w:lang w:val="de-CH"/>
        </w:rPr>
        <w:t>die Historischen Schützen Schweiz</w:t>
      </w:r>
      <w:r w:rsidR="00EC0E8A" w:rsidRPr="00EC0E8A">
        <w:rPr>
          <w:rFonts w:ascii="Arial" w:hAnsi="Arial" w:cs="Times New Roman"/>
          <w:color w:val="000000"/>
          <w:lang w:val="de-CH"/>
        </w:rPr>
        <w:t xml:space="preserve"> </w:t>
      </w:r>
      <w:r w:rsidR="00EC0E8A">
        <w:rPr>
          <w:rFonts w:ascii="Arial" w:hAnsi="Arial" w:cs="Times New Roman"/>
          <w:color w:val="000000"/>
          <w:lang w:val="de-CH"/>
        </w:rPr>
        <w:t>gele</w:t>
      </w:r>
      <w:r w:rsidR="00BB7059">
        <w:rPr>
          <w:rFonts w:ascii="Arial" w:hAnsi="Arial" w:cs="Times New Roman"/>
          <w:color w:val="000000"/>
          <w:lang w:val="de-CH"/>
        </w:rPr>
        <w:t>h</w:t>
      </w:r>
      <w:r w:rsidR="00EC0E8A">
        <w:rPr>
          <w:rFonts w:ascii="Arial" w:hAnsi="Arial" w:cs="Times New Roman"/>
          <w:color w:val="000000"/>
          <w:lang w:val="de-CH"/>
        </w:rPr>
        <w:t>rt</w:t>
      </w:r>
      <w:r w:rsidR="00C6718B">
        <w:rPr>
          <w:rFonts w:ascii="Arial" w:hAnsi="Arial" w:cs="Times New Roman"/>
          <w:color w:val="000000"/>
          <w:lang w:val="de-CH"/>
        </w:rPr>
        <w:t>, dass der</w:t>
      </w:r>
      <w:r w:rsidR="000118CD">
        <w:rPr>
          <w:rFonts w:ascii="Arial" w:hAnsi="Arial" w:cs="Times New Roman"/>
          <w:color w:val="000000"/>
          <w:lang w:val="de-CH"/>
        </w:rPr>
        <w:t>/die</w:t>
      </w:r>
      <w:r w:rsidR="00C6718B">
        <w:rPr>
          <w:rFonts w:ascii="Arial" w:hAnsi="Arial" w:cs="Times New Roman"/>
          <w:color w:val="000000"/>
          <w:lang w:val="de-CH"/>
        </w:rPr>
        <w:t xml:space="preserve"> </w:t>
      </w:r>
      <w:proofErr w:type="spellStart"/>
      <w:r w:rsidR="00C6718B">
        <w:rPr>
          <w:rFonts w:ascii="Arial" w:hAnsi="Arial" w:cs="Times New Roman"/>
          <w:color w:val="000000"/>
          <w:lang w:val="de-CH"/>
        </w:rPr>
        <w:t>Stimmbürger</w:t>
      </w:r>
      <w:r w:rsidR="00A05F73">
        <w:rPr>
          <w:rFonts w:ascii="Arial" w:hAnsi="Arial" w:cs="Times New Roman"/>
          <w:color w:val="000000"/>
          <w:lang w:val="de-CH"/>
        </w:rPr>
        <w:t>In</w:t>
      </w:r>
      <w:proofErr w:type="spellEnd"/>
      <w:r w:rsidR="00C6718B">
        <w:rPr>
          <w:rFonts w:ascii="Arial" w:hAnsi="Arial" w:cs="Times New Roman"/>
          <w:color w:val="000000"/>
          <w:lang w:val="de-CH"/>
        </w:rPr>
        <w:t xml:space="preserve"> streckenweise nur im Ansatz</w:t>
      </w:r>
      <w:r w:rsidR="00A05F73">
        <w:rPr>
          <w:rFonts w:ascii="Arial" w:hAnsi="Arial" w:cs="Times New Roman"/>
          <w:color w:val="000000"/>
          <w:lang w:val="de-CH"/>
        </w:rPr>
        <w:t xml:space="preserve">, wenn überhaupt, </w:t>
      </w:r>
      <w:r w:rsidR="00C6718B">
        <w:rPr>
          <w:rFonts w:ascii="Arial" w:hAnsi="Arial" w:cs="Times New Roman"/>
          <w:color w:val="000000"/>
          <w:lang w:val="de-CH"/>
        </w:rPr>
        <w:t xml:space="preserve"> über die wahren Konsequenzen der mit der EU abgeschlossenen und/oder </w:t>
      </w:r>
      <w:r w:rsidR="000118CD">
        <w:rPr>
          <w:rFonts w:ascii="Arial" w:hAnsi="Arial" w:cs="Times New Roman"/>
          <w:color w:val="000000"/>
          <w:lang w:val="de-CH"/>
        </w:rPr>
        <w:t>verhandelten</w:t>
      </w:r>
      <w:r w:rsidR="00C6718B">
        <w:rPr>
          <w:rFonts w:ascii="Arial" w:hAnsi="Arial" w:cs="Times New Roman"/>
          <w:color w:val="000000"/>
          <w:lang w:val="de-CH"/>
        </w:rPr>
        <w:t xml:space="preserve"> Verträge</w:t>
      </w:r>
      <w:r w:rsidR="00A05F73">
        <w:rPr>
          <w:rFonts w:ascii="Arial" w:hAnsi="Arial" w:cs="Times New Roman"/>
          <w:color w:val="000000"/>
          <w:lang w:val="de-CH"/>
        </w:rPr>
        <w:t xml:space="preserve"> aufgeklärt </w:t>
      </w:r>
      <w:r w:rsidR="00BB7059">
        <w:rPr>
          <w:rFonts w:ascii="Arial" w:hAnsi="Arial" w:cs="Times New Roman"/>
          <w:color w:val="000000"/>
          <w:lang w:val="de-CH"/>
        </w:rPr>
        <w:t xml:space="preserve">wurde oder </w:t>
      </w:r>
      <w:r w:rsidR="00A05F73">
        <w:rPr>
          <w:rFonts w:ascii="Arial" w:hAnsi="Arial" w:cs="Times New Roman"/>
          <w:color w:val="000000"/>
          <w:lang w:val="de-CH"/>
        </w:rPr>
        <w:t>wird.</w:t>
      </w:r>
      <w:r w:rsidR="00C6718B">
        <w:rPr>
          <w:rFonts w:ascii="Arial" w:hAnsi="Arial" w:cs="Times New Roman"/>
          <w:color w:val="000000"/>
          <w:lang w:val="de-CH"/>
        </w:rPr>
        <w:t xml:space="preserve"> </w:t>
      </w:r>
      <w:r w:rsidR="00A05F73">
        <w:rPr>
          <w:rFonts w:ascii="Arial" w:hAnsi="Arial" w:cs="Times New Roman"/>
          <w:color w:val="000000"/>
          <w:lang w:val="de-CH"/>
        </w:rPr>
        <w:t xml:space="preserve">Sie werden es uns nicht nachtragen, sehr geehrte Frau Bundespräsidentin, wenn wir </w:t>
      </w:r>
      <w:r w:rsidR="008E27C4">
        <w:rPr>
          <w:rFonts w:ascii="Arial" w:hAnsi="Arial" w:cs="Times New Roman"/>
          <w:color w:val="000000"/>
          <w:lang w:val="de-CH"/>
        </w:rPr>
        <w:t>bei</w:t>
      </w:r>
      <w:r w:rsidR="00A05F73">
        <w:rPr>
          <w:rFonts w:ascii="Arial" w:hAnsi="Arial" w:cs="Times New Roman"/>
          <w:color w:val="000000"/>
          <w:lang w:val="de-CH"/>
        </w:rPr>
        <w:t xml:space="preserve"> Ihrem Schreiben herauslesen, dass die offizielle Schweiz</w:t>
      </w:r>
      <w:r w:rsidR="008E27C4">
        <w:rPr>
          <w:rFonts w:ascii="Arial" w:hAnsi="Arial" w:cs="Times New Roman"/>
          <w:color w:val="000000"/>
          <w:lang w:val="de-CH"/>
        </w:rPr>
        <w:t xml:space="preserve"> im Verbund mit ihrer Administration</w:t>
      </w:r>
      <w:r w:rsidR="000118CD">
        <w:rPr>
          <w:rFonts w:ascii="Arial" w:hAnsi="Arial" w:cs="Times New Roman"/>
          <w:color w:val="000000"/>
          <w:lang w:val="de-CH"/>
        </w:rPr>
        <w:t>, wie eh und je ver</w:t>
      </w:r>
      <w:r w:rsidR="00BB7059">
        <w:rPr>
          <w:rFonts w:ascii="Arial" w:hAnsi="Arial" w:cs="Times New Roman"/>
          <w:color w:val="000000"/>
          <w:lang w:val="de-CH"/>
        </w:rPr>
        <w:t xml:space="preserve">fährt </w:t>
      </w:r>
      <w:r w:rsidR="000118CD">
        <w:rPr>
          <w:rFonts w:ascii="Arial" w:hAnsi="Arial" w:cs="Times New Roman"/>
          <w:color w:val="000000"/>
          <w:lang w:val="de-CH"/>
        </w:rPr>
        <w:t xml:space="preserve">und </w:t>
      </w:r>
      <w:r w:rsidR="005D5FB7">
        <w:rPr>
          <w:rFonts w:ascii="Arial" w:hAnsi="Arial" w:cs="Times New Roman"/>
          <w:color w:val="000000"/>
          <w:lang w:val="de-CH"/>
        </w:rPr>
        <w:t xml:space="preserve">dabei </w:t>
      </w:r>
      <w:r w:rsidR="000118CD">
        <w:rPr>
          <w:rFonts w:ascii="Arial" w:hAnsi="Arial" w:cs="Times New Roman"/>
          <w:color w:val="000000"/>
          <w:lang w:val="de-CH"/>
        </w:rPr>
        <w:t xml:space="preserve">sich auch </w:t>
      </w:r>
      <w:r w:rsidR="00BB7059">
        <w:rPr>
          <w:rFonts w:ascii="Arial" w:hAnsi="Arial" w:cs="Times New Roman"/>
          <w:color w:val="000000"/>
          <w:lang w:val="de-CH"/>
        </w:rPr>
        <w:t xml:space="preserve">herzlich wenig </w:t>
      </w:r>
      <w:r w:rsidR="000118CD">
        <w:rPr>
          <w:rFonts w:ascii="Arial" w:hAnsi="Arial" w:cs="Times New Roman"/>
          <w:color w:val="000000"/>
          <w:lang w:val="de-CH"/>
        </w:rPr>
        <w:t xml:space="preserve">um </w:t>
      </w:r>
      <w:r w:rsidR="00BB7059">
        <w:rPr>
          <w:rFonts w:ascii="Arial" w:hAnsi="Arial" w:cs="Times New Roman"/>
          <w:color w:val="000000"/>
          <w:lang w:val="de-CH"/>
        </w:rPr>
        <w:t xml:space="preserve">gewichtige </w:t>
      </w:r>
      <w:r w:rsidR="000118CD">
        <w:rPr>
          <w:rFonts w:ascii="Arial" w:hAnsi="Arial" w:cs="Times New Roman"/>
          <w:color w:val="000000"/>
          <w:lang w:val="de-CH"/>
        </w:rPr>
        <w:t>ausl</w:t>
      </w:r>
      <w:r w:rsidR="00BB7059">
        <w:rPr>
          <w:rFonts w:ascii="Arial" w:hAnsi="Arial" w:cs="Times New Roman"/>
          <w:color w:val="000000"/>
          <w:lang w:val="de-CH"/>
        </w:rPr>
        <w:t>ä</w:t>
      </w:r>
      <w:r w:rsidR="000118CD">
        <w:rPr>
          <w:rFonts w:ascii="Arial" w:hAnsi="Arial" w:cs="Times New Roman"/>
          <w:color w:val="000000"/>
          <w:lang w:val="de-CH"/>
        </w:rPr>
        <w:t xml:space="preserve">ndische </w:t>
      </w:r>
      <w:r w:rsidR="00BB7059">
        <w:rPr>
          <w:rFonts w:ascii="Arial" w:hAnsi="Arial" w:cs="Times New Roman"/>
          <w:color w:val="000000"/>
          <w:lang w:val="de-CH"/>
        </w:rPr>
        <w:t xml:space="preserve">Einschätzungen </w:t>
      </w:r>
      <w:r w:rsidR="000118CD">
        <w:rPr>
          <w:rFonts w:ascii="Arial" w:hAnsi="Arial" w:cs="Times New Roman"/>
          <w:color w:val="000000"/>
          <w:lang w:val="de-CH"/>
        </w:rPr>
        <w:t>kümmert.</w:t>
      </w:r>
      <w:r w:rsidR="008E27C4">
        <w:rPr>
          <w:rFonts w:ascii="Arial" w:hAnsi="Arial" w:cs="Times New Roman"/>
          <w:color w:val="000000"/>
          <w:lang w:val="de-CH"/>
        </w:rPr>
        <w:t xml:space="preserve"> </w:t>
      </w:r>
    </w:p>
    <w:p w14:paraId="56361256" w14:textId="736A5B9C" w:rsidR="000F1EA8" w:rsidRDefault="000F1EA8" w:rsidP="00371783">
      <w:pPr>
        <w:jc w:val="both"/>
        <w:rPr>
          <w:rFonts w:ascii="Arial" w:hAnsi="Arial" w:cs="Times New Roman"/>
          <w:color w:val="000000"/>
          <w:lang w:val="de-CH"/>
        </w:rPr>
      </w:pPr>
    </w:p>
    <w:p w14:paraId="52495EDD" w14:textId="35DCF2A1" w:rsidR="000F1EA8" w:rsidRDefault="000F1EA8" w:rsidP="00371783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>Zu Ihren E</w:t>
      </w:r>
      <w:r w:rsidR="000D6CFE">
        <w:rPr>
          <w:rFonts w:ascii="Arial" w:hAnsi="Arial" w:cs="Times New Roman"/>
          <w:color w:val="000000"/>
          <w:lang w:val="de-CH"/>
        </w:rPr>
        <w:t>r</w:t>
      </w:r>
      <w:r>
        <w:rPr>
          <w:rFonts w:ascii="Arial" w:hAnsi="Arial" w:cs="Times New Roman"/>
          <w:color w:val="000000"/>
          <w:lang w:val="de-CH"/>
        </w:rPr>
        <w:t>läuterungen erlauben wir uns folgende Stellungnahme:</w:t>
      </w:r>
    </w:p>
    <w:p w14:paraId="47B11B2D" w14:textId="77777777" w:rsidR="000F1EA8" w:rsidRDefault="000F1EA8" w:rsidP="00371783">
      <w:pPr>
        <w:jc w:val="both"/>
        <w:rPr>
          <w:rFonts w:ascii="Arial" w:hAnsi="Arial" w:cs="Times New Roman"/>
          <w:color w:val="000000"/>
          <w:lang w:val="de-CH"/>
        </w:rPr>
      </w:pPr>
    </w:p>
    <w:p w14:paraId="20EA27AD" w14:textId="3698F5EA" w:rsidR="009705BC" w:rsidRPr="009705BC" w:rsidRDefault="006C49F7" w:rsidP="00371783">
      <w:pPr>
        <w:jc w:val="both"/>
        <w:rPr>
          <w:rFonts w:ascii="Arial" w:hAnsi="Arial" w:cs="Times New Roman"/>
          <w:color w:val="000000"/>
          <w:u w:val="single"/>
          <w:lang w:val="de-CH"/>
        </w:rPr>
      </w:pPr>
      <w:r>
        <w:rPr>
          <w:rFonts w:ascii="Arial" w:hAnsi="Arial" w:cs="Times New Roman"/>
          <w:color w:val="000000"/>
          <w:u w:val="single"/>
          <w:lang w:val="de-CH"/>
        </w:rPr>
        <w:t>Verh</w:t>
      </w:r>
      <w:r>
        <w:rPr>
          <w:rFonts w:ascii="Arial" w:hAnsi="Arial" w:cs="Arial"/>
          <w:color w:val="000000"/>
          <w:u w:val="single"/>
          <w:lang w:val="de-CH"/>
        </w:rPr>
        <w:t>ältnis</w:t>
      </w:r>
      <w:r w:rsidR="000F1EA8" w:rsidRPr="009705BC">
        <w:rPr>
          <w:rFonts w:ascii="Arial" w:hAnsi="Arial" w:cs="Times New Roman"/>
          <w:color w:val="000000"/>
          <w:u w:val="single"/>
          <w:lang w:val="de-CH"/>
        </w:rPr>
        <w:t xml:space="preserve"> CH (</w:t>
      </w:r>
      <w:proofErr w:type="spellStart"/>
      <w:r w:rsidR="000F1EA8" w:rsidRPr="009705BC">
        <w:rPr>
          <w:rFonts w:ascii="Arial" w:hAnsi="Arial" w:cs="Times New Roman"/>
          <w:color w:val="000000"/>
          <w:u w:val="single"/>
          <w:lang w:val="de-CH"/>
        </w:rPr>
        <w:t>InstA</w:t>
      </w:r>
      <w:proofErr w:type="spellEnd"/>
      <w:r w:rsidR="000F1EA8" w:rsidRPr="009705BC">
        <w:rPr>
          <w:rFonts w:ascii="Arial" w:hAnsi="Arial" w:cs="Times New Roman"/>
          <w:color w:val="000000"/>
          <w:u w:val="single"/>
          <w:lang w:val="de-CH"/>
        </w:rPr>
        <w:t>)/UK (</w:t>
      </w:r>
      <w:r w:rsidR="009705BC" w:rsidRPr="009705BC">
        <w:rPr>
          <w:rFonts w:ascii="Arial" w:hAnsi="Arial" w:cs="Times New Roman"/>
          <w:color w:val="000000"/>
          <w:u w:val="single"/>
          <w:lang w:val="de-CH"/>
        </w:rPr>
        <w:t xml:space="preserve">“Political </w:t>
      </w:r>
      <w:proofErr w:type="spellStart"/>
      <w:r w:rsidR="009705BC" w:rsidRPr="009705BC">
        <w:rPr>
          <w:rFonts w:ascii="Arial" w:hAnsi="Arial" w:cs="Times New Roman"/>
          <w:color w:val="000000"/>
          <w:u w:val="single"/>
          <w:lang w:val="de-CH"/>
        </w:rPr>
        <w:t>Declaration</w:t>
      </w:r>
      <w:proofErr w:type="spellEnd"/>
      <w:r w:rsidR="009705BC" w:rsidRPr="009705BC">
        <w:rPr>
          <w:rFonts w:ascii="Arial" w:hAnsi="Arial" w:cs="Times New Roman"/>
          <w:color w:val="000000"/>
          <w:u w:val="single"/>
          <w:lang w:val="de-CH"/>
        </w:rPr>
        <w:t xml:space="preserve">”) </w:t>
      </w:r>
      <w:r>
        <w:rPr>
          <w:rFonts w:ascii="Arial" w:hAnsi="Arial" w:cs="Times New Roman"/>
          <w:color w:val="000000"/>
          <w:u w:val="single"/>
          <w:lang w:val="de-CH"/>
        </w:rPr>
        <w:t>-</w:t>
      </w:r>
      <w:r w:rsidR="009705BC" w:rsidRPr="009705BC">
        <w:rPr>
          <w:rFonts w:ascii="Arial" w:hAnsi="Arial" w:cs="Times New Roman"/>
          <w:color w:val="000000"/>
          <w:u w:val="single"/>
          <w:lang w:val="de-CH"/>
        </w:rPr>
        <w:t xml:space="preserve"> EU</w:t>
      </w:r>
    </w:p>
    <w:p w14:paraId="425DB1E0" w14:textId="3C36E489" w:rsidR="00D65A2C" w:rsidRDefault="000F1EA8" w:rsidP="00371783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 xml:space="preserve"> </w:t>
      </w:r>
    </w:p>
    <w:p w14:paraId="61DC5751" w14:textId="24FA4FE9" w:rsidR="000F1EA8" w:rsidRPr="000F1EA8" w:rsidRDefault="009705BC" w:rsidP="000F1EA8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>Vertreter der Schweiz erklären immer wieder</w:t>
      </w:r>
      <w:r w:rsidR="005D5FB7">
        <w:rPr>
          <w:rFonts w:ascii="Arial" w:hAnsi="Arial" w:cs="Times New Roman"/>
          <w:color w:val="000000"/>
          <w:lang w:val="de-CH"/>
        </w:rPr>
        <w:t>, die CH-</w:t>
      </w:r>
      <w:r>
        <w:rPr>
          <w:rFonts w:ascii="Arial" w:hAnsi="Arial" w:cs="Times New Roman"/>
          <w:color w:val="000000"/>
          <w:lang w:val="de-CH"/>
        </w:rPr>
        <w:t>Stellung</w:t>
      </w:r>
      <w:r w:rsidR="005D5FB7">
        <w:rPr>
          <w:rFonts w:ascii="Arial" w:hAnsi="Arial" w:cs="Times New Roman"/>
          <w:color w:val="000000"/>
          <w:lang w:val="de-CH"/>
        </w:rPr>
        <w:t xml:space="preserve"> </w:t>
      </w:r>
      <w:r>
        <w:rPr>
          <w:rFonts w:ascii="Arial" w:hAnsi="Arial" w:cs="Times New Roman"/>
          <w:color w:val="000000"/>
          <w:lang w:val="de-CH"/>
        </w:rPr>
        <w:t xml:space="preserve"> </w:t>
      </w:r>
      <w:r w:rsidR="000F0357">
        <w:rPr>
          <w:rFonts w:ascii="Arial" w:hAnsi="Arial" w:cs="Times New Roman"/>
          <w:color w:val="000000"/>
          <w:lang w:val="de-CH"/>
        </w:rPr>
        <w:t>i</w:t>
      </w:r>
      <w:r w:rsidR="005D5FB7">
        <w:rPr>
          <w:rFonts w:ascii="Arial" w:hAnsi="Arial" w:cs="Times New Roman"/>
          <w:color w:val="000000"/>
          <w:lang w:val="de-CH"/>
        </w:rPr>
        <w:t>m</w:t>
      </w:r>
      <w:r>
        <w:rPr>
          <w:rFonts w:ascii="Arial" w:hAnsi="Arial" w:cs="Times New Roman"/>
          <w:color w:val="000000"/>
          <w:lang w:val="de-CH"/>
        </w:rPr>
        <w:t xml:space="preserve"> ausgehandelten InstA sei besser als jene des </w:t>
      </w:r>
      <w:r w:rsidRPr="000F1EA8">
        <w:rPr>
          <w:rFonts w:ascii="Arial" w:hAnsi="Arial" w:cs="Times New Roman"/>
          <w:color w:val="000000"/>
          <w:lang w:val="de-CH"/>
        </w:rPr>
        <w:t>Vereinigten Königreichs nach der “Political Declaration</w:t>
      </w:r>
      <w:r>
        <w:rPr>
          <w:rFonts w:ascii="Arial" w:hAnsi="Arial" w:cs="Times New Roman"/>
          <w:color w:val="000000"/>
          <w:lang w:val="de-CH"/>
        </w:rPr>
        <w:t>».</w:t>
      </w:r>
      <w:r w:rsidRPr="000F1EA8">
        <w:rPr>
          <w:rFonts w:ascii="Arial" w:hAnsi="Arial" w:cs="Times New Roman"/>
          <w:color w:val="000000"/>
          <w:lang w:val="de-CH"/>
        </w:rPr>
        <w:t xml:space="preserve"> </w:t>
      </w:r>
      <w:r w:rsidR="000F1EA8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Die</w:t>
      </w:r>
      <w:r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se</w:t>
      </w:r>
      <w:r w:rsidR="000F1EA8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 xml:space="preserve"> Behauptung ist nicht nachvollziehbar</w:t>
      </w:r>
      <w:r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 xml:space="preserve">, </w:t>
      </w:r>
      <w:proofErr w:type="gramStart"/>
      <w:r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 xml:space="preserve">weil </w:t>
      </w:r>
      <w:r w:rsidR="000F1EA8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 xml:space="preserve"> </w:t>
      </w:r>
      <w:r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am</w:t>
      </w:r>
      <w:proofErr w:type="gramEnd"/>
      <w:r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 xml:space="preserve"> Ende die </w:t>
      </w:r>
      <w:r w:rsidR="000F1EA8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Entscheidungsmacht beim EuGH</w:t>
      </w:r>
      <w:r w:rsidR="000D6CFE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 xml:space="preserve"> liegt</w:t>
      </w:r>
      <w:r w:rsidR="000F1EA8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 xml:space="preserve"> und </w:t>
      </w:r>
      <w:r w:rsidR="000D6CFE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nicht einsehbar ist, weshalb der EuGH  die bilateralen Abkommen der EU (CH/Ukraine/GB), auch bei unterschiedlichem Wortlaut, ungleich auslegen wird.</w:t>
      </w:r>
      <w:r w:rsidR="000D6CFE">
        <w:rPr>
          <w:rFonts w:ascii="Arial" w:hAnsi="Arial" w:cs="Times New Roman"/>
          <w:color w:val="000000"/>
          <w:lang w:val="de-CH"/>
        </w:rPr>
        <w:t xml:space="preserve">  A</w:t>
      </w:r>
      <w:r w:rsidR="000F1EA8" w:rsidRPr="000F1EA8">
        <w:rPr>
          <w:rFonts w:ascii="Arial" w:hAnsi="Arial" w:cs="Times New Roman"/>
          <w:color w:val="000000"/>
          <w:lang w:val="de-CH"/>
        </w:rPr>
        <w:t>uf irgendwelche Unterschiede im Wortlaut wird es nicht ankommen.</w:t>
      </w:r>
      <w:r w:rsidR="006C49F7">
        <w:rPr>
          <w:rFonts w:ascii="Arial" w:hAnsi="Arial" w:cs="Times New Roman"/>
          <w:color w:val="000000"/>
          <w:lang w:val="de-CH"/>
        </w:rPr>
        <w:t xml:space="preserve"> Das lehrt schon die Erfahrung mit dem Freihandelsabkommen.</w:t>
      </w:r>
    </w:p>
    <w:p w14:paraId="5D0EA30E" w14:textId="16DC80AA" w:rsidR="000F1EA8" w:rsidRDefault="000F1EA8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2440AA17" w14:textId="62692467" w:rsidR="00C37582" w:rsidRPr="00C37582" w:rsidRDefault="00C37582" w:rsidP="000F1EA8">
      <w:pPr>
        <w:jc w:val="both"/>
        <w:rPr>
          <w:rFonts w:ascii="Arial" w:hAnsi="Arial" w:cs="Times New Roman"/>
          <w:color w:val="000000"/>
          <w:u w:val="single"/>
          <w:lang w:val="de-CH"/>
        </w:rPr>
      </w:pPr>
      <w:r w:rsidRPr="00C37582">
        <w:rPr>
          <w:rFonts w:ascii="Arial" w:hAnsi="Arial" w:cs="Times New Roman"/>
          <w:color w:val="000000"/>
          <w:u w:val="single"/>
          <w:lang w:val="de-CH"/>
        </w:rPr>
        <w:t>InstA</w:t>
      </w:r>
      <w:r w:rsidR="00512853">
        <w:rPr>
          <w:rFonts w:ascii="Arial" w:hAnsi="Arial" w:cs="Times New Roman"/>
          <w:color w:val="000000"/>
          <w:u w:val="single"/>
          <w:lang w:val="de-CH"/>
        </w:rPr>
        <w:t xml:space="preserve"> und sein </w:t>
      </w:r>
      <w:r w:rsidR="006C49F7">
        <w:rPr>
          <w:rFonts w:ascii="Arial" w:hAnsi="Arial" w:cs="Times New Roman"/>
          <w:color w:val="000000"/>
          <w:u w:val="single"/>
          <w:lang w:val="de-CH"/>
        </w:rPr>
        <w:t>„</w:t>
      </w:r>
      <w:r w:rsidRPr="00C37582">
        <w:rPr>
          <w:rFonts w:ascii="Arial" w:hAnsi="Arial" w:cs="Times New Roman"/>
          <w:color w:val="000000"/>
          <w:u w:val="single"/>
          <w:lang w:val="de-CH"/>
        </w:rPr>
        <w:t>Schiedsgericht</w:t>
      </w:r>
      <w:r w:rsidR="006C49F7">
        <w:rPr>
          <w:rFonts w:ascii="Arial" w:hAnsi="Arial" w:cs="Times New Roman"/>
          <w:color w:val="000000"/>
          <w:u w:val="single"/>
          <w:lang w:val="de-CH"/>
        </w:rPr>
        <w:t>“</w:t>
      </w:r>
    </w:p>
    <w:p w14:paraId="2795CEFC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159227C1" w14:textId="77F274B4" w:rsidR="000F1EA8" w:rsidRPr="000F1EA8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>Das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 InstA-Schiedsgericht </w:t>
      </w:r>
      <w:r>
        <w:rPr>
          <w:rFonts w:ascii="Arial" w:hAnsi="Arial" w:cs="Times New Roman"/>
          <w:color w:val="000000"/>
          <w:lang w:val="de-CH"/>
        </w:rPr>
        <w:t>ist weder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 ein supranationales Überwachungsorgan </w:t>
      </w:r>
      <w:r>
        <w:rPr>
          <w:rFonts w:ascii="Arial" w:hAnsi="Arial" w:cs="Times New Roman"/>
          <w:color w:val="000000"/>
          <w:lang w:val="de-CH"/>
        </w:rPr>
        <w:t xml:space="preserve">noch ein 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 Verfassungsgericht. </w:t>
      </w:r>
      <w:r w:rsidR="000F1EA8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Hingegen ist die EU-Kommission, die nach dem InstA jederzeit einseitig das Schiedsgericht und damit faktisch den EuGH anrufen kann, sehr wohl ein supranationales Überwachungsorgan der Schweiz</w:t>
      </w:r>
      <w:r w:rsidR="00EA117C"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.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 Wenn Entscheide von Schweizer Gerichten nach der Auffassung der EU gegen das InstA verstossen, so kann die EU-Kommission das Schiedsgericht und damit den EuGH anrufen. Damit steht der EuGH über dem Bundesgericht</w:t>
      </w:r>
      <w:r>
        <w:rPr>
          <w:rFonts w:ascii="Arial" w:hAnsi="Arial" w:cs="Times New Roman"/>
          <w:color w:val="000000"/>
          <w:lang w:val="de-CH"/>
        </w:rPr>
        <w:t>.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 </w:t>
      </w:r>
    </w:p>
    <w:p w14:paraId="230BDE86" w14:textId="77777777" w:rsidR="000F1EA8" w:rsidRPr="000F1EA8" w:rsidRDefault="000F1EA8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19647221" w14:textId="251EDA3E" w:rsidR="000F1EA8" w:rsidRDefault="000F1EA8" w:rsidP="000F1EA8">
      <w:pPr>
        <w:jc w:val="both"/>
        <w:rPr>
          <w:rFonts w:ascii="Arial" w:hAnsi="Arial" w:cs="Times New Roman"/>
          <w:color w:val="000000"/>
          <w:lang w:val="de-CH"/>
        </w:rPr>
      </w:pPr>
      <w:r w:rsidRPr="000F1EA8">
        <w:rPr>
          <w:rFonts w:ascii="Arial" w:hAnsi="Arial" w:cs="Times New Roman"/>
          <w:color w:val="000000"/>
          <w:lang w:val="de-CH"/>
        </w:rPr>
        <w:t xml:space="preserve">Ob man beim Schiedsgericht von einem Briefkasten für den EuGH sprechen will, ist Geschmackssache. </w:t>
      </w:r>
      <w:r w:rsidR="00512853">
        <w:rPr>
          <w:rFonts w:ascii="Arial" w:hAnsi="Arial" w:cs="Times New Roman"/>
          <w:color w:val="000000"/>
          <w:lang w:val="de-CH"/>
        </w:rPr>
        <w:t>D</w:t>
      </w:r>
      <w:r w:rsidRPr="000F1EA8">
        <w:rPr>
          <w:rFonts w:ascii="Arial" w:hAnsi="Arial" w:cs="Times New Roman"/>
          <w:color w:val="000000"/>
          <w:lang w:val="de-CH"/>
        </w:rPr>
        <w:t xml:space="preserve">ieser Begriff, den der englische Rechtsanwalt und Autor Martin Howe, QC, verwendet, </w:t>
      </w:r>
      <w:r w:rsidR="00512853" w:rsidRPr="000F1EA8">
        <w:rPr>
          <w:rFonts w:ascii="Arial" w:hAnsi="Arial" w:cs="Times New Roman"/>
          <w:color w:val="000000"/>
          <w:lang w:val="de-CH"/>
        </w:rPr>
        <w:t xml:space="preserve">beschreibt </w:t>
      </w:r>
      <w:r w:rsidRPr="000F1EA8">
        <w:rPr>
          <w:rFonts w:ascii="Arial" w:hAnsi="Arial" w:cs="Times New Roman"/>
          <w:color w:val="000000"/>
          <w:lang w:val="de-CH"/>
        </w:rPr>
        <w:t xml:space="preserve">die Sachlage </w:t>
      </w:r>
      <w:r w:rsidR="00512853">
        <w:rPr>
          <w:rFonts w:ascii="Arial" w:hAnsi="Arial" w:cs="Times New Roman"/>
          <w:color w:val="000000"/>
          <w:lang w:val="de-CH"/>
        </w:rPr>
        <w:t>jedoch recht</w:t>
      </w:r>
      <w:r w:rsidRPr="000F1EA8">
        <w:rPr>
          <w:rFonts w:ascii="Arial" w:hAnsi="Arial" w:cs="Times New Roman"/>
          <w:color w:val="000000"/>
          <w:lang w:val="de-CH"/>
        </w:rPr>
        <w:t xml:space="preserve"> gut. </w:t>
      </w:r>
      <w:r w:rsidR="00512853">
        <w:rPr>
          <w:rFonts w:ascii="Arial" w:hAnsi="Arial" w:cs="Times New Roman"/>
          <w:color w:val="000000"/>
          <w:lang w:val="de-CH"/>
        </w:rPr>
        <w:t>Auch der</w:t>
      </w:r>
      <w:r w:rsidR="006C49F7">
        <w:rPr>
          <w:rFonts w:ascii="Arial" w:hAnsi="Arial" w:cs="Times New Roman"/>
          <w:color w:val="000000"/>
          <w:lang w:val="de-CH"/>
        </w:rPr>
        <w:t xml:space="preserve"> norwegische</w:t>
      </w:r>
      <w:r w:rsidRPr="000F1EA8">
        <w:rPr>
          <w:rFonts w:ascii="Arial" w:hAnsi="Arial" w:cs="Times New Roman"/>
          <w:color w:val="000000"/>
          <w:lang w:val="de-CH"/>
        </w:rPr>
        <w:t xml:space="preserve"> </w:t>
      </w:r>
      <w:r w:rsidR="00512853" w:rsidRPr="000F1EA8">
        <w:rPr>
          <w:rFonts w:ascii="Arial" w:hAnsi="Arial" w:cs="Times New Roman"/>
          <w:color w:val="000000"/>
          <w:lang w:val="de-CH"/>
        </w:rPr>
        <w:t xml:space="preserve">Völker- und Europarechtler </w:t>
      </w:r>
      <w:r w:rsidR="00512853">
        <w:rPr>
          <w:rFonts w:ascii="Arial" w:hAnsi="Arial" w:cs="Times New Roman"/>
          <w:color w:val="000000"/>
          <w:lang w:val="de-CH"/>
        </w:rPr>
        <w:t xml:space="preserve">und </w:t>
      </w:r>
      <w:r w:rsidR="00512853" w:rsidRPr="000F1EA8">
        <w:rPr>
          <w:rFonts w:ascii="Arial" w:hAnsi="Arial" w:cs="Times New Roman"/>
          <w:color w:val="000000"/>
          <w:lang w:val="de-CH"/>
        </w:rPr>
        <w:t xml:space="preserve">ehemalige Director des Centre of European Law am </w:t>
      </w:r>
      <w:r w:rsidR="006C49F7">
        <w:rPr>
          <w:rFonts w:ascii="Arial" w:hAnsi="Arial" w:cs="Times New Roman"/>
          <w:color w:val="000000"/>
          <w:lang w:val="de-CH"/>
        </w:rPr>
        <w:t xml:space="preserve">Londoner </w:t>
      </w:r>
      <w:r w:rsidR="00512853" w:rsidRPr="000F1EA8">
        <w:rPr>
          <w:rFonts w:ascii="Arial" w:hAnsi="Arial" w:cs="Times New Roman"/>
          <w:color w:val="000000"/>
          <w:lang w:val="de-CH"/>
        </w:rPr>
        <w:t>King's College</w:t>
      </w:r>
      <w:r w:rsidR="00512853">
        <w:rPr>
          <w:rFonts w:ascii="Arial" w:hAnsi="Arial" w:cs="Times New Roman"/>
          <w:color w:val="000000"/>
          <w:lang w:val="de-CH"/>
        </w:rPr>
        <w:t>,</w:t>
      </w:r>
      <w:r w:rsidR="00512853" w:rsidRPr="00512853">
        <w:t xml:space="preserve"> </w:t>
      </w:r>
      <w:r w:rsidR="00512853" w:rsidRPr="00512853">
        <w:rPr>
          <w:rFonts w:ascii="Arial" w:hAnsi="Arial" w:cs="Times New Roman"/>
          <w:color w:val="000000"/>
          <w:lang w:val="de-CH"/>
        </w:rPr>
        <w:t>Professor Andenæs</w:t>
      </w:r>
      <w:r w:rsidR="00512853">
        <w:rPr>
          <w:rFonts w:ascii="Arial" w:hAnsi="Arial" w:cs="Times New Roman"/>
          <w:color w:val="000000"/>
          <w:lang w:val="de-CH"/>
        </w:rPr>
        <w:t>,</w:t>
      </w:r>
      <w:r w:rsidR="00512853" w:rsidRPr="000F1EA8">
        <w:rPr>
          <w:rFonts w:ascii="Arial" w:hAnsi="Arial" w:cs="Times New Roman"/>
          <w:color w:val="000000"/>
          <w:lang w:val="de-CH"/>
        </w:rPr>
        <w:t xml:space="preserve"> </w:t>
      </w:r>
      <w:r w:rsidR="00512853">
        <w:rPr>
          <w:rFonts w:ascii="Arial" w:hAnsi="Arial" w:cs="Times New Roman"/>
          <w:color w:val="000000"/>
          <w:lang w:val="de-CH"/>
        </w:rPr>
        <w:t xml:space="preserve">zielt mit seiner </w:t>
      </w:r>
      <w:r w:rsidR="006C49F7">
        <w:rPr>
          <w:rFonts w:ascii="Arial" w:hAnsi="Arial" w:cs="Times New Roman"/>
          <w:color w:val="000000"/>
          <w:lang w:val="de-CH"/>
        </w:rPr>
        <w:t>Charakterisierung</w:t>
      </w:r>
      <w:r w:rsidR="00512853">
        <w:rPr>
          <w:rFonts w:ascii="Arial" w:hAnsi="Arial" w:cs="Times New Roman"/>
          <w:color w:val="000000"/>
          <w:lang w:val="de-CH"/>
        </w:rPr>
        <w:t xml:space="preserve"> in </w:t>
      </w:r>
      <w:r w:rsidR="009F2CE1">
        <w:rPr>
          <w:rFonts w:ascii="Arial" w:hAnsi="Arial" w:cs="Times New Roman"/>
          <w:color w:val="000000"/>
          <w:lang w:val="de-CH"/>
        </w:rPr>
        <w:t>diese</w:t>
      </w:r>
      <w:r w:rsidR="00512853">
        <w:rPr>
          <w:rFonts w:ascii="Arial" w:hAnsi="Arial" w:cs="Times New Roman"/>
          <w:color w:val="000000"/>
          <w:lang w:val="de-CH"/>
        </w:rPr>
        <w:t xml:space="preserve"> Richtung.</w:t>
      </w:r>
    </w:p>
    <w:p w14:paraId="7A43272F" w14:textId="7D4323FE" w:rsidR="00512853" w:rsidRDefault="00512853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13C8B319" w14:textId="6E0FAE79" w:rsidR="00512853" w:rsidRPr="000F1EA8" w:rsidRDefault="009F2CE1" w:rsidP="000F1EA8">
      <w:pPr>
        <w:jc w:val="both"/>
        <w:rPr>
          <w:rFonts w:ascii="Arial" w:hAnsi="Arial" w:cs="Times New Roman"/>
          <w:color w:val="000000"/>
          <w:lang w:val="de-CH"/>
        </w:rPr>
      </w:pPr>
      <w:r w:rsidRPr="009F2CE1">
        <w:rPr>
          <w:rFonts w:ascii="Arial" w:hAnsi="Arial" w:cs="Times New Roman"/>
          <w:color w:val="000000"/>
          <w:u w:val="single"/>
          <w:lang w:val="de-CH"/>
        </w:rPr>
        <w:t>InstA und sein Artikel 4(2</w:t>
      </w:r>
      <w:r>
        <w:rPr>
          <w:rFonts w:ascii="Arial" w:hAnsi="Arial" w:cs="Times New Roman"/>
          <w:color w:val="000000"/>
          <w:lang w:val="de-CH"/>
        </w:rPr>
        <w:t>)</w:t>
      </w:r>
    </w:p>
    <w:p w14:paraId="3D7B1F59" w14:textId="77777777" w:rsidR="000F1EA8" w:rsidRPr="000F1EA8" w:rsidRDefault="000F1EA8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54C0F38F" w14:textId="77777777" w:rsidR="009F2CE1" w:rsidRDefault="009F2CE1" w:rsidP="000F1EA8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 xml:space="preserve">Hartnäckig wird kolportiert, 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das Schiedsgericht müsse den EuGH “nur” anrufen, wenn die Beantwortung von Fragen der Auslegung und Anwendung “von EU-Recht” für die Streitbeilegung “relevant und notwendig” ist. </w:t>
      </w:r>
      <w:r>
        <w:rPr>
          <w:rFonts w:ascii="Arial" w:hAnsi="Arial" w:cs="Times New Roman"/>
          <w:color w:val="000000"/>
          <w:lang w:val="de-CH"/>
        </w:rPr>
        <w:t xml:space="preserve">Das 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trifft </w:t>
      </w:r>
      <w:r>
        <w:rPr>
          <w:rFonts w:ascii="Arial" w:hAnsi="Arial" w:cs="Times New Roman"/>
          <w:color w:val="000000"/>
          <w:lang w:val="de-CH"/>
        </w:rPr>
        <w:t>so nicht zu.</w:t>
      </w:r>
      <w:r w:rsidR="000F1EA8" w:rsidRPr="000F1EA8">
        <w:rPr>
          <w:rFonts w:ascii="Arial" w:hAnsi="Arial" w:cs="Times New Roman"/>
          <w:color w:val="000000"/>
          <w:lang w:val="de-CH"/>
        </w:rPr>
        <w:t xml:space="preserve"> </w:t>
      </w:r>
    </w:p>
    <w:p w14:paraId="376E7E7C" w14:textId="4A9F1A4E" w:rsidR="000F1EA8" w:rsidRPr="000F1EA8" w:rsidRDefault="000F1EA8" w:rsidP="000F1EA8">
      <w:pPr>
        <w:jc w:val="both"/>
        <w:rPr>
          <w:rFonts w:ascii="Arial" w:hAnsi="Arial" w:cs="Times New Roman"/>
          <w:color w:val="000000"/>
          <w:lang w:val="de-CH"/>
        </w:rPr>
      </w:pPr>
      <w:r w:rsidRPr="002E4F0F">
        <w:rPr>
          <w:rFonts w:ascii="Arial" w:hAnsi="Arial" w:cs="Times New Roman"/>
          <w:b/>
          <w:bCs/>
          <w:i/>
          <w:iCs/>
          <w:color w:val="000000"/>
          <w:lang w:val="de-CH"/>
        </w:rPr>
        <w:t>Der EuGH ist nach Artikel 4(2) InstA immer dann anzurufen, wenn EU-Recht “impliziert” ist. Nach allgemeiner Auffassung, auch von Befürwortern des InstA, sind damit auch Fälle erfasst, in denen es um die Auslegung von bilateralem Recht geht, das auf EU-Recht fusst.</w:t>
      </w:r>
      <w:r w:rsidRPr="000F1EA8">
        <w:rPr>
          <w:rFonts w:ascii="Arial" w:hAnsi="Arial" w:cs="Times New Roman"/>
          <w:color w:val="000000"/>
          <w:lang w:val="de-CH"/>
        </w:rPr>
        <w:t xml:space="preserve"> Und damit ist in aller Regel auch die Relevanz und Notwendigkeit der Anrufung des EuGH gegeben. </w:t>
      </w:r>
    </w:p>
    <w:p w14:paraId="24F73D21" w14:textId="77777777" w:rsidR="000F1EA8" w:rsidRPr="000F1EA8" w:rsidRDefault="000F1EA8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7CA0C1E7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15FF0C13" w14:textId="1B5A33DA" w:rsidR="00C37582" w:rsidRDefault="008713B7" w:rsidP="000F1EA8">
      <w:pPr>
        <w:jc w:val="both"/>
        <w:rPr>
          <w:rFonts w:ascii="Arial" w:hAnsi="Arial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 xml:space="preserve">Wir danken Ihnen, sehr geehrte Frau </w:t>
      </w:r>
      <w:r>
        <w:rPr>
          <w:rFonts w:ascii="Arial" w:hAnsi="Arial" w:cs="Times New Roman"/>
          <w:color w:val="000000"/>
        </w:rPr>
        <w:t xml:space="preserve">Bundespräsidentin, wenn Sie </w:t>
      </w:r>
      <w:r w:rsidR="000D3F68">
        <w:rPr>
          <w:rFonts w:ascii="Arial" w:hAnsi="Arial" w:cs="Times New Roman"/>
          <w:color w:val="000000"/>
        </w:rPr>
        <w:t xml:space="preserve">sich für </w:t>
      </w:r>
      <w:r w:rsidR="00D45D50">
        <w:rPr>
          <w:rFonts w:ascii="Arial" w:hAnsi="Arial" w:cs="Times New Roman"/>
          <w:color w:val="000000"/>
        </w:rPr>
        <w:t xml:space="preserve">die </w:t>
      </w:r>
      <w:r w:rsidR="000D3F68">
        <w:rPr>
          <w:rFonts w:ascii="Arial" w:hAnsi="Arial" w:cs="Times New Roman"/>
          <w:color w:val="000000"/>
        </w:rPr>
        <w:t xml:space="preserve">faktenbasierte </w:t>
      </w:r>
      <w:r w:rsidR="00D45D50">
        <w:rPr>
          <w:rFonts w:ascii="Arial" w:hAnsi="Arial" w:cs="Times New Roman"/>
          <w:color w:val="000000"/>
        </w:rPr>
        <w:t xml:space="preserve">Orientierung </w:t>
      </w:r>
      <w:r w:rsidR="000D3F68">
        <w:rPr>
          <w:rFonts w:ascii="Arial" w:hAnsi="Arial" w:cs="Times New Roman"/>
          <w:color w:val="000000"/>
        </w:rPr>
        <w:t xml:space="preserve">der Bürger und Bürgerinnen </w:t>
      </w:r>
      <w:proofErr w:type="gramStart"/>
      <w:r w:rsidR="00D45D50">
        <w:rPr>
          <w:rFonts w:ascii="Arial" w:hAnsi="Arial" w:cs="Times New Roman"/>
          <w:color w:val="000000"/>
        </w:rPr>
        <w:t>einsetzen</w:t>
      </w:r>
      <w:r w:rsidR="000D3F68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 xml:space="preserve"> und</w:t>
      </w:r>
      <w:proofErr w:type="gramEnd"/>
      <w:r>
        <w:rPr>
          <w:rFonts w:ascii="Arial" w:hAnsi="Arial" w:cs="Times New Roman"/>
          <w:color w:val="000000"/>
        </w:rPr>
        <w:t xml:space="preserve"> verbleiben</w:t>
      </w:r>
      <w:r>
        <w:rPr>
          <w:rFonts w:ascii="Arial" w:hAnsi="Arial" w:cs="Times New Roman"/>
          <w:color w:val="000000"/>
          <w:lang w:val="de-CH"/>
        </w:rPr>
        <w:t xml:space="preserve"> </w:t>
      </w:r>
    </w:p>
    <w:p w14:paraId="42D98C18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6BFF2EF7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6B5E14B9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30E2E39F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27B53294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697ACB79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7EFC5E80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6238A628" w14:textId="77777777" w:rsidR="00C37582" w:rsidRDefault="00C37582" w:rsidP="000F1EA8">
      <w:pPr>
        <w:jc w:val="both"/>
        <w:rPr>
          <w:rFonts w:ascii="Arial" w:hAnsi="Arial" w:cs="Times New Roman"/>
          <w:color w:val="000000"/>
          <w:lang w:val="de-CH"/>
        </w:rPr>
      </w:pPr>
    </w:p>
    <w:p w14:paraId="60D4B1E2" w14:textId="77777777" w:rsidR="001A7537" w:rsidRDefault="001A7537" w:rsidP="001A7537">
      <w:pPr>
        <w:rPr>
          <w:rFonts w:ascii="Arial" w:hAnsi="Arial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</w:t>
      </w:r>
    </w:p>
    <w:p w14:paraId="5AB91F17" w14:textId="4904E930" w:rsidR="001A7537" w:rsidRPr="001A7537" w:rsidRDefault="008713B7" w:rsidP="001A7537">
      <w:pPr>
        <w:rPr>
          <w:rFonts w:ascii="Calibri" w:hAnsi="Calibri" w:cs="Times New Roman"/>
          <w:color w:val="000000"/>
          <w:lang w:val="de-CH"/>
        </w:rPr>
      </w:pPr>
      <w:r>
        <w:rPr>
          <w:rFonts w:ascii="Arial" w:hAnsi="Arial" w:cs="Times New Roman"/>
          <w:color w:val="000000"/>
          <w:lang w:val="de-CH"/>
        </w:rPr>
        <w:t>h</w:t>
      </w:r>
      <w:r w:rsidR="001A7537" w:rsidRPr="001A7537">
        <w:rPr>
          <w:rFonts w:ascii="Arial" w:hAnsi="Arial" w:cs="Times New Roman"/>
          <w:color w:val="000000"/>
          <w:lang w:val="de-CH"/>
        </w:rPr>
        <w:t xml:space="preserve">ochachtungsvoll </w:t>
      </w:r>
    </w:p>
    <w:p w14:paraId="0AEA9617" w14:textId="77777777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 </w:t>
      </w:r>
    </w:p>
    <w:p w14:paraId="5280EB4B" w14:textId="77777777" w:rsidR="0081688C" w:rsidRDefault="0081688C" w:rsidP="001A7537">
      <w:pPr>
        <w:rPr>
          <w:rFonts w:ascii="Arial" w:hAnsi="Arial" w:cs="Times New Roman"/>
          <w:color w:val="000000"/>
          <w:lang w:val="de-CH"/>
        </w:rPr>
      </w:pPr>
    </w:p>
    <w:p w14:paraId="52BDBB76" w14:textId="77777777" w:rsidR="0081688C" w:rsidRDefault="0081688C" w:rsidP="001A7537">
      <w:pPr>
        <w:rPr>
          <w:rFonts w:ascii="Arial" w:hAnsi="Arial" w:cs="Times New Roman"/>
          <w:color w:val="000000"/>
          <w:lang w:val="de-CH"/>
        </w:rPr>
      </w:pPr>
    </w:p>
    <w:p w14:paraId="47101FF6" w14:textId="36CF88BE" w:rsid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Dr.rer.pol. / Dipl.Ing.FH</w:t>
      </w:r>
    </w:p>
    <w:p w14:paraId="0552F314" w14:textId="50A70A9D" w:rsidR="001A7537" w:rsidRPr="001A7537" w:rsidRDefault="001A7537" w:rsidP="001A7537">
      <w:pPr>
        <w:rPr>
          <w:rFonts w:ascii="Calibri" w:hAnsi="Calibri" w:cs="Times New Roman"/>
          <w:color w:val="000000"/>
          <w:lang w:val="de-CH"/>
        </w:rPr>
      </w:pPr>
      <w:r w:rsidRPr="001A7537">
        <w:rPr>
          <w:rFonts w:ascii="Arial" w:hAnsi="Arial" w:cs="Times New Roman"/>
          <w:color w:val="000000"/>
          <w:lang w:val="de-CH"/>
        </w:rPr>
        <w:t>a.</w:t>
      </w:r>
      <w:r w:rsidRPr="001A7537">
        <w:rPr>
          <w:rFonts w:ascii="Times New Roman" w:hAnsi="Times New Roman" w:cs="Times New Roman"/>
          <w:color w:val="000000"/>
          <w:lang w:val="de-CH"/>
        </w:rPr>
        <w:t>   </w:t>
      </w:r>
      <w:r w:rsidRPr="001A7537">
        <w:rPr>
          <w:rFonts w:ascii="Arial" w:hAnsi="Arial" w:cs="Times New Roman"/>
          <w:color w:val="000000"/>
          <w:lang w:val="de-CH"/>
        </w:rPr>
        <w:t>Regierungsrat</w:t>
      </w:r>
    </w:p>
    <w:p w14:paraId="19D0DF69" w14:textId="11E3B2D4" w:rsidR="0081688C" w:rsidRDefault="001A7537" w:rsidP="001A7537">
      <w:pPr>
        <w:rPr>
          <w:rFonts w:ascii="Times New Roman" w:hAnsi="Times New Roman" w:cs="Times New Roman"/>
        </w:rPr>
      </w:pPr>
      <w:r w:rsidRPr="001A7537">
        <w:rPr>
          <w:rFonts w:ascii="Arial" w:hAnsi="Arial" w:cs="Times New Roman"/>
          <w:color w:val="000000"/>
          <w:lang w:val="de-CH"/>
        </w:rPr>
        <w:t>Ueli Augsburger, Präsident</w:t>
      </w:r>
      <w:r>
        <w:rPr>
          <w:rFonts w:ascii="Arial" w:hAnsi="Arial" w:cs="Times New Roman"/>
          <w:color w:val="000000"/>
          <w:lang w:val="de-CH"/>
        </w:rPr>
        <w:tab/>
      </w:r>
      <w:r>
        <w:rPr>
          <w:rFonts w:ascii="Arial" w:hAnsi="Arial" w:cs="Times New Roman"/>
          <w:color w:val="000000"/>
          <w:lang w:val="de-CH"/>
        </w:rPr>
        <w:tab/>
      </w:r>
      <w:r>
        <w:rPr>
          <w:rFonts w:ascii="Arial" w:hAnsi="Arial" w:cs="Times New Roman"/>
          <w:color w:val="000000"/>
          <w:lang w:val="de-CH"/>
        </w:rPr>
        <w:tab/>
      </w:r>
      <w:r>
        <w:rPr>
          <w:rFonts w:ascii="Arial" w:hAnsi="Arial" w:cs="Times New Roman"/>
          <w:color w:val="000000"/>
          <w:lang w:val="de-CH"/>
        </w:rPr>
        <w:tab/>
      </w:r>
      <w:r>
        <w:rPr>
          <w:rFonts w:ascii="Arial" w:hAnsi="Arial" w:cs="Times New Roman"/>
          <w:color w:val="000000"/>
          <w:lang w:val="de-CH"/>
        </w:rPr>
        <w:tab/>
        <w:t>Heinz Weber, Sekretär</w:t>
      </w:r>
    </w:p>
    <w:p w14:paraId="3D74199E" w14:textId="1603265E" w:rsidR="001A7537" w:rsidRPr="001A7537" w:rsidRDefault="0042462C" w:rsidP="001A7537">
      <w:pPr>
        <w:rPr>
          <w:rFonts w:ascii="Times New Roman" w:hAnsi="Times New Roman" w:cs="Times New Roman"/>
        </w:rPr>
      </w:pPr>
      <w:r w:rsidRPr="001A7537">
        <w:rPr>
          <w:rFonts w:ascii="Times New Roman" w:hAnsi="Times New Roman" w:cs="Times New Roman"/>
        </w:rPr>
        <w:tab/>
      </w:r>
    </w:p>
    <w:p w14:paraId="71A4D90F" w14:textId="4DCB2983" w:rsidR="0081688C" w:rsidRDefault="0081688C" w:rsidP="007C5BED">
      <w:pPr>
        <w:rPr>
          <w:rFonts w:ascii="Times New Roman" w:hAnsi="Times New Roman" w:cs="Times New Roman"/>
        </w:rPr>
      </w:pPr>
    </w:p>
    <w:p w14:paraId="060464A1" w14:textId="71952663" w:rsidR="008713B7" w:rsidRDefault="008713B7" w:rsidP="007C5BED">
      <w:pPr>
        <w:rPr>
          <w:rFonts w:ascii="Times New Roman" w:hAnsi="Times New Roman" w:cs="Times New Roman"/>
        </w:rPr>
      </w:pPr>
    </w:p>
    <w:p w14:paraId="01EEA31F" w14:textId="3AF4992E" w:rsidR="008713B7" w:rsidRDefault="008713B7" w:rsidP="007C5BED">
      <w:pPr>
        <w:rPr>
          <w:rFonts w:ascii="Times New Roman" w:hAnsi="Times New Roman" w:cs="Times New Roman"/>
        </w:rPr>
      </w:pPr>
    </w:p>
    <w:p w14:paraId="54A5470A" w14:textId="63A3267E" w:rsidR="008713B7" w:rsidRDefault="008713B7" w:rsidP="007C5BED">
      <w:pPr>
        <w:rPr>
          <w:rFonts w:ascii="Times New Roman" w:hAnsi="Times New Roman" w:cs="Times New Roman"/>
        </w:rPr>
      </w:pPr>
    </w:p>
    <w:p w14:paraId="0508A424" w14:textId="378DAFED" w:rsidR="008713B7" w:rsidRDefault="008713B7" w:rsidP="007C5BED">
      <w:pPr>
        <w:rPr>
          <w:rFonts w:ascii="Times New Roman" w:hAnsi="Times New Roman" w:cs="Times New Roman"/>
        </w:rPr>
      </w:pPr>
    </w:p>
    <w:p w14:paraId="51A2EF70" w14:textId="72C87B71" w:rsidR="008713B7" w:rsidRDefault="008713B7" w:rsidP="007C5BED">
      <w:pPr>
        <w:rPr>
          <w:rFonts w:ascii="Times New Roman" w:hAnsi="Times New Roman" w:cs="Times New Roman"/>
        </w:rPr>
      </w:pPr>
    </w:p>
    <w:p w14:paraId="1034A380" w14:textId="4B918004" w:rsidR="008713B7" w:rsidRPr="002E4F0F" w:rsidRDefault="008713B7" w:rsidP="007C5BED">
      <w:pPr>
        <w:rPr>
          <w:rFonts w:ascii="Arial" w:hAnsi="Arial" w:cs="Arial"/>
        </w:rPr>
      </w:pPr>
      <w:r w:rsidRPr="002E4F0F">
        <w:rPr>
          <w:rFonts w:ascii="Arial" w:hAnsi="Arial" w:cs="Arial"/>
        </w:rPr>
        <w:t>Zur Kenntnis an:</w:t>
      </w:r>
      <w:r w:rsidR="00D45D50">
        <w:rPr>
          <w:rFonts w:ascii="Arial" w:hAnsi="Arial" w:cs="Arial"/>
        </w:rPr>
        <w:t xml:space="preserve"> </w:t>
      </w:r>
      <w:r w:rsidR="00D45D50" w:rsidRPr="002E4F0F">
        <w:rPr>
          <w:rFonts w:ascii="Arial" w:hAnsi="Arial" w:cs="Arial"/>
        </w:rPr>
        <w:t>Mitglieder,</w:t>
      </w:r>
      <w:r w:rsidRPr="002E4F0F">
        <w:rPr>
          <w:rFonts w:ascii="Arial" w:hAnsi="Arial" w:cs="Arial"/>
        </w:rPr>
        <w:t xml:space="preserve"> Medien</w:t>
      </w:r>
    </w:p>
    <w:p w14:paraId="66BD9F20" w14:textId="138E72F5" w:rsidR="008713B7" w:rsidRPr="002E4F0F" w:rsidRDefault="008713B7" w:rsidP="007C5BED">
      <w:pPr>
        <w:rPr>
          <w:rFonts w:ascii="Arial" w:hAnsi="Arial" w:cs="Arial"/>
        </w:rPr>
      </w:pPr>
    </w:p>
    <w:p w14:paraId="5ADCDCCC" w14:textId="75F54082" w:rsidR="008713B7" w:rsidRDefault="008713B7" w:rsidP="007C5BED">
      <w:pPr>
        <w:rPr>
          <w:rFonts w:ascii="Times New Roman" w:hAnsi="Times New Roman" w:cs="Times New Roman"/>
        </w:rPr>
      </w:pPr>
    </w:p>
    <w:p w14:paraId="5CB8A626" w14:textId="32CAE170" w:rsidR="008713B7" w:rsidRDefault="008713B7" w:rsidP="007C5BED">
      <w:pPr>
        <w:rPr>
          <w:rFonts w:ascii="Times New Roman" w:hAnsi="Times New Roman" w:cs="Times New Roman"/>
        </w:rPr>
      </w:pPr>
    </w:p>
    <w:p w14:paraId="09C3EFCD" w14:textId="5EFF3DAF" w:rsidR="0081688C" w:rsidRPr="001A7537" w:rsidRDefault="0081688C" w:rsidP="007C5BED">
      <w:pPr>
        <w:rPr>
          <w:rFonts w:ascii="Times New Roman" w:hAnsi="Times New Roman" w:cs="Times New Roman"/>
          <w:sz w:val="20"/>
          <w:szCs w:val="20"/>
        </w:rPr>
      </w:pPr>
    </w:p>
    <w:sectPr w:rsidR="0081688C" w:rsidRPr="001A7537" w:rsidSect="0081688C">
      <w:headerReference w:type="default" r:id="rId7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BBD0" w14:textId="77777777" w:rsidR="00AA6C5E" w:rsidRDefault="00AA6C5E" w:rsidP="0081688C">
      <w:r>
        <w:separator/>
      </w:r>
    </w:p>
  </w:endnote>
  <w:endnote w:type="continuationSeparator" w:id="0">
    <w:p w14:paraId="6D39E2E8" w14:textId="77777777" w:rsidR="00AA6C5E" w:rsidRDefault="00AA6C5E" w:rsidP="0081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8EAA" w14:textId="77777777" w:rsidR="00AA6C5E" w:rsidRDefault="00AA6C5E" w:rsidP="0081688C">
      <w:r>
        <w:separator/>
      </w:r>
    </w:p>
  </w:footnote>
  <w:footnote w:type="continuationSeparator" w:id="0">
    <w:p w14:paraId="1CA9F342" w14:textId="77777777" w:rsidR="00AA6C5E" w:rsidRDefault="00AA6C5E" w:rsidP="0081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879E" w14:textId="77777777" w:rsidR="0081688C" w:rsidRPr="0081688C" w:rsidRDefault="0081688C" w:rsidP="0081688C">
    <w:pPr>
      <w:pStyle w:val="Kopfzeile"/>
      <w:spacing w:before="100" w:beforeAutospacing="1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30"/>
    <w:rsid w:val="000118CD"/>
    <w:rsid w:val="00082A88"/>
    <w:rsid w:val="000D3F68"/>
    <w:rsid w:val="000D6CFE"/>
    <w:rsid w:val="000D7211"/>
    <w:rsid w:val="000F0357"/>
    <w:rsid w:val="000F1EA8"/>
    <w:rsid w:val="00145FDB"/>
    <w:rsid w:val="00162838"/>
    <w:rsid w:val="001A327D"/>
    <w:rsid w:val="001A54E3"/>
    <w:rsid w:val="001A7537"/>
    <w:rsid w:val="001B7435"/>
    <w:rsid w:val="001D53E7"/>
    <w:rsid w:val="001E0E18"/>
    <w:rsid w:val="001F7730"/>
    <w:rsid w:val="00246267"/>
    <w:rsid w:val="00265329"/>
    <w:rsid w:val="002E4F0F"/>
    <w:rsid w:val="00337106"/>
    <w:rsid w:val="00371783"/>
    <w:rsid w:val="00382708"/>
    <w:rsid w:val="003C6707"/>
    <w:rsid w:val="0042462C"/>
    <w:rsid w:val="004B67CF"/>
    <w:rsid w:val="00512853"/>
    <w:rsid w:val="00591F37"/>
    <w:rsid w:val="005B4706"/>
    <w:rsid w:val="005D5FB7"/>
    <w:rsid w:val="00665262"/>
    <w:rsid w:val="006959A8"/>
    <w:rsid w:val="006C49F7"/>
    <w:rsid w:val="0072155D"/>
    <w:rsid w:val="007C5BED"/>
    <w:rsid w:val="007F4B47"/>
    <w:rsid w:val="0081688C"/>
    <w:rsid w:val="008713B7"/>
    <w:rsid w:val="008E27C4"/>
    <w:rsid w:val="00902320"/>
    <w:rsid w:val="009431D9"/>
    <w:rsid w:val="009705BC"/>
    <w:rsid w:val="009B37B4"/>
    <w:rsid w:val="009F2CE1"/>
    <w:rsid w:val="00A05F73"/>
    <w:rsid w:val="00AA6C5E"/>
    <w:rsid w:val="00AE5E0E"/>
    <w:rsid w:val="00B8108B"/>
    <w:rsid w:val="00BB3D6C"/>
    <w:rsid w:val="00BB7059"/>
    <w:rsid w:val="00BF0648"/>
    <w:rsid w:val="00C20296"/>
    <w:rsid w:val="00C24895"/>
    <w:rsid w:val="00C37582"/>
    <w:rsid w:val="00C6718B"/>
    <w:rsid w:val="00D45D50"/>
    <w:rsid w:val="00D63664"/>
    <w:rsid w:val="00D65A2C"/>
    <w:rsid w:val="00D8417B"/>
    <w:rsid w:val="00DE4227"/>
    <w:rsid w:val="00E96F67"/>
    <w:rsid w:val="00EA117C"/>
    <w:rsid w:val="00EC0E8A"/>
    <w:rsid w:val="00F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5378CB"/>
  <w14:defaultImageDpi w14:val="300"/>
  <w15:docId w15:val="{BCC65764-231E-413D-982D-7DB764E1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7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A327D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A7537"/>
  </w:style>
  <w:style w:type="paragraph" w:styleId="Listenabsatz">
    <w:name w:val="List Paragraph"/>
    <w:basedOn w:val="Standard"/>
    <w:uiPriority w:val="34"/>
    <w:qFormat/>
    <w:rsid w:val="001A7537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8168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88C"/>
  </w:style>
  <w:style w:type="paragraph" w:styleId="Fuzeile">
    <w:name w:val="footer"/>
    <w:basedOn w:val="Standard"/>
    <w:link w:val="FuzeileZchn"/>
    <w:uiPriority w:val="99"/>
    <w:unhideWhenUsed/>
    <w:rsid w:val="008168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Weber</dc:creator>
  <cp:keywords/>
  <dc:description/>
  <cp:lastModifiedBy>Roy Schlaefli</cp:lastModifiedBy>
  <cp:revision>4</cp:revision>
  <cp:lastPrinted>2020-02-13T09:07:00Z</cp:lastPrinted>
  <dcterms:created xsi:type="dcterms:W3CDTF">2020-03-19T14:18:00Z</dcterms:created>
  <dcterms:modified xsi:type="dcterms:W3CDTF">2020-03-19T14:59:00Z</dcterms:modified>
</cp:coreProperties>
</file>